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5F" w:rsidRPr="007F5808" w:rsidRDefault="004B2F5F" w:rsidP="007F5808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5808" w:rsidRDefault="0031107B" w:rsidP="007F5808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08">
        <w:rPr>
          <w:rFonts w:ascii="Times New Roman" w:hAnsi="Times New Roman" w:cs="Times New Roman"/>
          <w:b/>
          <w:sz w:val="24"/>
          <w:szCs w:val="24"/>
        </w:rPr>
        <w:t>Внутригородские районы:</w:t>
      </w:r>
    </w:p>
    <w:p w:rsidR="0031107B" w:rsidRDefault="0031107B" w:rsidP="007F5808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08">
        <w:rPr>
          <w:rFonts w:ascii="Times New Roman" w:hAnsi="Times New Roman" w:cs="Times New Roman"/>
          <w:b/>
          <w:sz w:val="24"/>
          <w:szCs w:val="24"/>
        </w:rPr>
        <w:t xml:space="preserve"> нынешняя роль и перспективы стать муниципальными образованиями</w:t>
      </w:r>
    </w:p>
    <w:p w:rsidR="007F5808" w:rsidRPr="007F5808" w:rsidRDefault="007F5808" w:rsidP="007F5808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806" w:rsidRDefault="0031107B" w:rsidP="007F5808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08">
        <w:rPr>
          <w:rFonts w:ascii="Times New Roman" w:hAnsi="Times New Roman" w:cs="Times New Roman"/>
          <w:sz w:val="24"/>
          <w:szCs w:val="24"/>
        </w:rPr>
        <w:tab/>
      </w:r>
      <w:r w:rsidR="004B2F5F" w:rsidRPr="007F5808">
        <w:rPr>
          <w:rFonts w:ascii="Times New Roman" w:hAnsi="Times New Roman" w:cs="Times New Roman"/>
          <w:sz w:val="24"/>
          <w:szCs w:val="24"/>
        </w:rPr>
        <w:t>Прошло уже более 10 лет, как в России на всех территориях (кроме городских округов) повсеместно введена двухуровневая система местного самоуправления. И практически все эти годы именно она является предметом самых острых споров, в ходе которых многие эксперты подвергают сомнению нынешний правовой и управленческий статус сельских районов. Сегодня дискуссии вокруг статуса районов перешли в новую плоскость –</w:t>
      </w:r>
      <w:r w:rsidR="00126157" w:rsidRPr="00126157">
        <w:rPr>
          <w:rFonts w:ascii="Times New Roman" w:hAnsi="Times New Roman" w:cs="Times New Roman"/>
          <w:sz w:val="24"/>
          <w:szCs w:val="24"/>
        </w:rPr>
        <w:t xml:space="preserve"> </w:t>
      </w:r>
      <w:r w:rsidR="00126157">
        <w:rPr>
          <w:rFonts w:ascii="Times New Roman" w:hAnsi="Times New Roman" w:cs="Times New Roman"/>
          <w:sz w:val="24"/>
          <w:szCs w:val="24"/>
        </w:rPr>
        <w:t>обнародовано предложение</w:t>
      </w:r>
      <w:r w:rsidR="004B2F5F" w:rsidRPr="007F5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F5F" w:rsidRPr="007F5808">
        <w:rPr>
          <w:rFonts w:ascii="Times New Roman" w:hAnsi="Times New Roman" w:cs="Times New Roman"/>
          <w:sz w:val="24"/>
          <w:szCs w:val="24"/>
        </w:rPr>
        <w:t>ввести</w:t>
      </w:r>
      <w:proofErr w:type="gramEnd"/>
      <w:r w:rsidR="004B2F5F" w:rsidRPr="007F5808">
        <w:rPr>
          <w:rFonts w:ascii="Times New Roman" w:hAnsi="Times New Roman" w:cs="Times New Roman"/>
          <w:sz w:val="24"/>
          <w:szCs w:val="24"/>
        </w:rPr>
        <w:t xml:space="preserve"> двухуровневую систему местного самоуправления и в крупных городах, сделав первым уровнем местного самоуправления внутригородские районы. Учитывая, что </w:t>
      </w:r>
      <w:r w:rsidR="004C6945" w:rsidRPr="007F5808">
        <w:rPr>
          <w:rFonts w:ascii="Times New Roman" w:hAnsi="Times New Roman" w:cs="Times New Roman"/>
          <w:sz w:val="24"/>
          <w:szCs w:val="24"/>
        </w:rPr>
        <w:t xml:space="preserve">подобные идеи последнее десятилетие практически не обсуждались, попробуем разобраться с нынешним состоянием и перспективами районов в городах. </w:t>
      </w:r>
    </w:p>
    <w:p w:rsidR="007F5808" w:rsidRPr="007F5808" w:rsidRDefault="007F5808" w:rsidP="007F5808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DB" w:rsidRDefault="004C6945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7F5808">
        <w:rPr>
          <w:rFonts w:ascii="Times New Roman" w:hAnsi="Times New Roman" w:cs="Times New Roman"/>
          <w:b/>
          <w:sz w:val="24"/>
          <w:szCs w:val="24"/>
        </w:rPr>
        <w:tab/>
      </w:r>
      <w:r w:rsidR="001222DB" w:rsidRPr="007F5808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Советское прошлое и постсоветские трансформации</w:t>
      </w:r>
    </w:p>
    <w:p w:rsidR="007F5808" w:rsidRPr="007F5808" w:rsidRDefault="007F5808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Городские районы – порождение советской системы управления. В Российской империи  города имели единую (централизованную) систему управления, в рамках которой </w:t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они</w:t>
      </w:r>
      <w:proofErr w:type="gram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начиная с Жалованной грамотой Екатерины 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US"/>
        </w:rPr>
        <w:t>II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(а отчасти даже с петровских магистратов) пользовались частичной автономией, серьезно окрепшей в результате городской реформы 1870 года.  </w:t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Отсутствие жесткого внутреннего деления городов  обуславливалось как масштабом городов того времени (даже Москва до 1905 года практически не выходила за пределы нынешнего Центрального административного округа столицы), отчасти – наличием некоторых начал разграничения полномочий (земства и городские самоуправления забирали на себя часть ответственности государства, а государство не считало нужным параллельно заниматься соответствующими вопросами ни на уровне городов в целом, ни на уровне</w:t>
      </w:r>
      <w:proofErr w:type="gram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внутригородских территорий).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В Советском Союзе к 1930-м годам была выстроена совершенно иная модель управления, основанная на единстве системы власти и иерархическом соподчинении всех ее уровней (именно в этот период и создаются городские районы). Каждый управленческий уровень отвечал за решение практически всех вопросов на своей территории, при этом выступая по отношению к вышестоящим управленческим звеньям в качестве исполнительного механизма - "приводного ремня". Город областного значения выполнял указания областного руководства, а власти городского района – команды соответствующего горкома и горисполкома. В подобной линейной модели управления субрегиональные территориальные единицы  имели скорее организационно-техническое значение – важно было «нарезать» территорию на сопоставимые по территории и численности населения части, чтобы до каждой из них могла дотянуться власть, чтобы в рамках каждой из них  исполнялись решения партии и правительства. Следовательно, насколько каждый городской район был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градостроительн</w:t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о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-</w:t>
      </w:r>
      <w:proofErr w:type="gram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инфраструктурно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- и социально- обособленным и самодостаточным, никакого принципиального значения не имело. Здесь уместно привести аналогию с системой армейского управления – до появления сложной военной техники и специализации, деление пешего войска на сотни и тысячи было вполне логичной схемой. Территориальный принцип управления в СССР был </w:t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во-многом</w:t>
      </w:r>
      <w:proofErr w:type="gram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похож на подобную линейную модель.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lastRenderedPageBreak/>
        <w:tab/>
        <w:t xml:space="preserve">По состоянию на 1 января 1986 года в РСФСР было 396 городских районов – всего существовало 95 городов с районным делением (включая Москву и Ленинград). Как правило, районы создавались в городах с населением более 200 тыс. чел., каждый район формировался с численностью от 100 до 150-200 тыс. жителей. С учетом местной специфики в отдельных случаях от этого принципа отходили (как создавая районы в городах с меньшей численностью жителей, например в </w:t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Ленинск-Кузнецком</w:t>
      </w:r>
      <w:proofErr w:type="gram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так и не создавая – в более крупных городах – Сургуте, Стерлитамаке, Нижневартовске и Нижнекамске), однако в целом количественные критерии соблюдались достаточно четко.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Плюрализация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политической жизни на излете советской эпохи, размывая принцип «демократического централизма», неизбежно ломала и обозначенную  схему территориального управления. Неслучайно уже в период перестройки не только появилась тенденция к усилению городских советов и ослаблению властей районов в городах, но и к ликвидации городских районов (например, в 1988 году были упразднены районы в Петрозаводске и Йошкар-Оле).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В постсоветское время количество и роль внутригородских районов неуклонно снижалась. После роспуска советов в сентябре-октябре 1993 года выборные органы на районном уровне практически нигде больше не возродились. Администрации городских районов были подчинены администрациям городов, а после возрождения выборных городских органов еще больше снизили свое влияние. На протяжении всех реформ местного самоуправления в 1991-2003 гг. статус районов в городах был предметом серьезной дискуссии, однако </w:t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большинство экспертов и практиков соглашалось с</w:t>
      </w:r>
      <w:proofErr w:type="gram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необходимостью учитывать единство городского хозяйства. Логическим итогом такого развития было то, что Федеральный закон №131-ФЗ не только не включил в число городские районы в число видов муниципальных образований, но и вообще отказался от закрепления их статуса.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Городские районы сегодня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>В настоящее время в большинстве региональных центров России внутригородские районы сохранились. Однако количество городов с делением на районы (округа) заметно сократилось (среди центров субъектов РФ – с 66 до 55)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vertAlign w:val="superscript"/>
        </w:rPr>
        <w:footnoteReference w:id="1"/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Еще более заметно сократилась функциональная нагрузка районных администраций (комитетов по управлению округом, управ, префектур, территориальных управлений и т.п.). Сегодня только в 39  из 79  центрах субъектов РФ (исключая Москву, Санкт-Петербург, Московскую и Ленинградскую области) существуют районные органы местной администрации с собственными полномочиями (не сводящимися только к коммуникации с населением и технической поддержке работы городской администрации). В остальных городах районные администрации либо отсутствуют вовсе, либо сводятся к «комитетам по работе с населением» (как, например, в Липецке).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Какие же вопросы решают эти 39 районных администраций? Об этом можно судить по наличию в их структуре отраслевых (функциональных) подразделений или отдельных профильных специалистов. На районном уровне в 33 городах есть службы ЖКХ; в 26 – благоустройства; в 22 – торговли и сферы услуг; в 19 – культуры, спорта, молодежной политики; социальной защиты; правопорядка и безопасности; в 16 – 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lastRenderedPageBreak/>
        <w:t xml:space="preserve">градостроительства и архитектуры; в 12 – образования;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ЗАГСы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; в 8 – транспорта и дорожного хозяйства. Как видим, только при решении 3-х вопросов местного значения (благоустройство и ЖКХ, торговля и сфера услуг) районные администрации задействованы в большинстве из 39 городов. Причем обычно на уровне районов осуществляется только исполнительские функции или решение мелких бытовых вопросов (скажем, в сфере архитектуры – согласование перепланировки жилых помещений). 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Многие города склонны экспериментировать со своим территориальным делением и управлением, подстраивать их под текущие задачи и меняющиеся условия. Например, в Казани с 2010 года только Советский район сохранил прежнюю модель управления, зато в рамках 6-ти  других районов администрации были «попарно» объединены в 3 районных администрации (т.е. де-факто сегодня существует вместо 7 только 4 управленческих района). В Хабаровске вместо 5 районов функционируют 4 округа (в рамках Северного округа объединено управление Краснофлотским и Кировским районом). Напротив, в Кургане вместо 3 городских районов создано 7 административных районов, а </w:t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во</w:t>
      </w:r>
      <w:proofErr w:type="gram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Пскове – сформировано 14 управленческих муниципальных районов, правда в обоих случаях районные администрации отсутствуют.</w:t>
      </w:r>
    </w:p>
    <w:p w:rsid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Во многих местах ведется дискуссия о том, что прежние районы утратили свое значение и их администрации избыточны и не нужны. В качестве общей тенденции можно отметить неуклонное снижение роли районного звена управления в городах. Как представляется, причинами этого являются объективные тенденции развития урбанизированных территорий: усиление транспортной связности городов, рост маятниковых миграций, специализация городской инфраструктуры, развитие в городах сетевых форм торговли и оказания услуг. </w:t>
      </w:r>
    </w:p>
    <w:p w:rsidR="007F5808" w:rsidRPr="001222DB" w:rsidRDefault="007F5808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1222DB" w:rsidRPr="001222DB" w:rsidRDefault="001222DB" w:rsidP="007F5808">
      <w:pPr>
        <w:spacing w:beforeLines="60" w:before="144" w:afterLines="60" w:after="144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Возможности введения двухуровневой системы самоуправления в городах 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Предложение о  введения двухуровневой системы местного самоуправления в городских округах – в целях демократизации муниципального управления, приближение власти к жителям и местам локализации публичных услуг – сегодня уже активно обсуждается. Причем речь идет о том, чтобы разделить территории либо всех городских округов, либо всех центров субъектов РФ на муниципальные образования «первого уровня» с возможностью формирования представительных органов «второго уровня» местного самоуправления методом делегирования.  Однако этот процесс почему-то не идет дальше абстрактной идеи – проработка конкретных предложений почти отсутствует. Между тем, любые попытки перевести идею в практическую плоскость вызывает массу вопросов.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1222DB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 xml:space="preserve">Во-первых, 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создание муниципального образования подразумевает наличие некого сложившегося сообщества людей, связанных не только единой территорией, но и значимыми общими интересами, а желательно и общей идентичностью. Вряд ли сегодня кто-то будет спорить с тем, что в большинстве нынешних внутригородских районов они проявляются крайне слабо. 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Если в советские времена многие районы в городах мыслились в качестве мест  проживания сотрудников градообразующих предприятий и зоны их неформальной опеки, то уже в 1990-е большинство таких предприятий  кардинально сократили численность сотрудников, передали свои социальные объекты на баланс городов, а зачастую - уступили ключевое место в районной экономике новым организациям торговли и сферы услуг. </w:t>
      </w:r>
      <w:proofErr w:type="gramEnd"/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Городские районы советского времени были связаны общей социальной и коммунальной инфраструктурой. Почти в каждом районе был свой «главный» кинотеатр, своя районная библиотека (а в библиотеки тогда люди ходили), большой дом культуры, основной спортивный комплекс со стадионом, да и локальные ЖЭКи объединялись 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lastRenderedPageBreak/>
        <w:t xml:space="preserve">главной районной </w:t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контрой</w:t>
      </w:r>
      <w:proofErr w:type="gram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в которую интенсивно и лично обращались жители. В каждом районе работали выборные органы, даже формальные выборы в которые напоминали жителям об их принадлежности к району. Все это связывало жителей района в сообщество людей, не только воспринимающих свою общность, но нередко и лично пересекающихся друг с другом. 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 последние 20 лет практически все крупные города страны стали территориями интенсивной внутригородской миграции, в результате социальный состав городских районов кардинально обновился – выросли целые поколения людей, которые не только не участвовали в районных выборах, но и не помнят, в какие кинотеатры, ДК и спорткомплексы ходили их родители.</w:t>
      </w:r>
      <w:proofErr w:type="gram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Нынешняя сфера досуга, спорта и коммунального хозяйства в городах находится преимущественно в частной собственности и практически не привязана к районному  делению. Жители районов работают сегодня в сотнях/тысячах разнообразных предприятиях, ездят отдыхать и заниматься спортом в «центр города», или в ближайшее к дому заведение или в любимые места (в любом конце города).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Районные сообщества в российских городах необратимо разрушены. Даже восстановление выборов в районные советы вряд ли возродят районную </w:t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идентичность</w:t>
      </w:r>
      <w:proofErr w:type="gram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и вызовет живой интерес жителей. Сегодня общественная жизнь внутри городов (отвлечемся здесь от того, что она часто переходит  городские границы и измеряется, как минимум, масштабом агломерации) стала гораздо </w:t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более связной</w:t>
      </w:r>
      <w:proofErr w:type="gram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и многообразной одновременно. В этих условиях общности людей и основы для самоуправления формируются либо на микроуровне (дом-квартал-жилищный комплекс), либо на уровне города/городской агломерации в целом.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В современных городах остались территории среднего масштаба, которые обособлены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градостроительно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связаны единством инфраструктуры, иногда – наличием ключевого предприятия, однако таких районов не так много и чаще они не совпадают с административными границами (часто это своего рода неформальные районы, районы «в народном восприятии»).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Поэтому попытки возрождения самоуправления применительно к большинству нынешних внутригородских районов выглядят искусственными и имеющими сомнительные перспективы.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ab/>
        <w:t xml:space="preserve">Во-вторых,  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если мы отвлекаемся от сущностных вопросом наличия сообществ как субъектов самоуправления - непонятно, в какой группе городских округов можно ввести двухуровневую модель (самоуправление в городских районах) даже на основе формальных критериев.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Сегодня районное деление существует только в 55  административных центрах субъектов  Российской Федерации - исключая Москву и Санкт-Петербург (зато оно сохранилось и в городах, не являющихся региональными центрами). Следовательно, этот критерий отпадает.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От использования количественных критериев (численности населения) отказались уже в ходе реформы местного самоуправления 2003 года – даже для признания населенного пункта городом или городского поселения – городским районом – численность населения не является формальным требованием. В случае использования подобного критерия обязательность введения районного уровня самоуправления пойдет в разрез с фактическим наличием районного деления сегодня. По факту, сегодня районное деление чаще всего сохранили городские округа с численностью жителей свыше 300 тыс. чел., однако зачастую районов нет в более крупных городах (например, в Вологде или Якутске) и они есть в городах, не дотягивающих до этой планки (например, в Грозном или в Тамбове). Кроме того, использование критерия численность жителей в силу интенсивных демографических изменений может потребовать оперативного создания или 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lastRenderedPageBreak/>
        <w:t xml:space="preserve">вызвать упразднение районного самоуправления (иногда – по несколько раз в среднесрочной перспективе).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Критерий масштаба территории города или районов тем более не может быть взят за основу, так как уже сложившуюся дифференциацию здесь трудно уместить в какие-либо стандарты  - к примеру, районов нет в Петропавловске-Камчатском (362,14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кв.км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.) или в Ханты-Мансийске (337,76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кв.км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.), но имеются 3 района в Саранске (71,6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кв</w:t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.к</w:t>
      </w:r>
      <w:proofErr w:type="gram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) и 4 района в Орле (127,8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кв.км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.).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Наконец, вряд ли возможно «привязать» введение двухуровневой системы самоуправления к фактическому наличию районов в городах. Сегодня районное деление городов не закреплено федеральным законом, а чаще всего не относится и к административно-территориальному делению субъектов РФ, имея формальный статус только внутри самих городов. Причем иногда районное деление не закрепляется даже уставом города – просто создаются территориальные органы местной администрации со своей зоной ответственности.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Таким образом, трудно даже представить, какие критерии может положить федеральный законодатель в основу для определения городских округов, в которых вводится двухуровневая система местного самоуправления. Делегирование же соответствующего полномочия субъектам Российской Федерации не только будет означать, по сути, вмешательство региональных властей во внутренние дела городского самоуправления, но и войдет в противоречие с базовой  логикой нынешнего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муниципально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-правового регулирования (основанного на регламентации ключевых вопросов с федерального уровня).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1222DB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>В-третьих,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представляется затруднительным выделение вопросов собственной компетенции внутригородских районов. Как показано выше, сегодня администрации районов чаще всего подключаются к решению вопросов ЖКХ, благоустройства, торговли и услуг, культуры и спорта, социальной защиты и обеспечения правопорядка. Однако коммунальное обслуживание сегодня осуществляется управляющими компаниями, часто работающими на экстерриториальной основе. Ключевые предприятия досуга и спорта находятся в центрах городов. В сфере торговли доминируют общегородские и федеральные торговые сети. Вопросы социальной защиты и правопорядка решаются нынешними районными администрациями преимущественно в порядке исполнения делегированных государственных полномочий.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При организации управления в городах неизбежно приходится учитывать единство городского хозяйства, что позволяет делегировать на уровень внутригородских территорий только небольшой перечень вопросов. В этом смысле показательна ограниченность полномочий органов местного самоуправления в Москве и Санкт-Петербурге, даже несмотря на то, что они являются субъектами федерации. </w:t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(По мнению автора, как раз в Москве и Санкт-Петербурге имеется потребность и возможность в существенном усилении местного самоуправления.</w:t>
      </w:r>
      <w:proofErr w:type="gram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Но обуславливается это как территориальным масштабом, который объективно требует более значительной децентрализации (или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деконцентрации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) управленческих функций, нежели в городских округах России, так и особым статусом российских столиц в качестве отдельных субъектов федерации. </w:t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Вместе с тем, компетенция органов самоуправления даже в Москве и Санкт-Петербурге вряд ли может быть сопоставима по объему с компетенцией муниципальных органов на остальной территории России). </w:t>
      </w:r>
      <w:proofErr w:type="gramEnd"/>
    </w:p>
    <w:p w:rsid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По сути, единственным вопросом местного значения, который в можно было бы передать районным самоуправлениям в российских городах является благоустройство территории (и то без регулятивных функций, которые все равно должны решаться на 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lastRenderedPageBreak/>
        <w:t xml:space="preserve">общегородском уровне). Но выделение только  для этого всех внутригородских районов в отдельные муниципальные образования представляется избыточным и бессмысленным. </w:t>
      </w:r>
    </w:p>
    <w:p w:rsidR="007F5808" w:rsidRPr="001222DB" w:rsidRDefault="007F5808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ab/>
        <w:t xml:space="preserve">Потребность во внутригородских муниципальных образованиях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Сказанное выше совершенно не означает, что постановка вопроса о возможности создания внутригородских муниципальных образований в городских округах не правильна. Как представляется, в некоторых случаях было бы полезно дать возможности самоуправления отдельным территориям городских округов.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1222DB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>Во-первых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актуальной проблемой сегодня является поиск моделей управления городскими агломерациями. Неразвитость межмуниципального сотрудничества часто является препятствием для развития общей инфраструктуры крупных городов и их пригородов. При этом присоединение городов-спутников с лишением их муниципальной автономии разрушает их социальную среду, влечет риски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гиперцентрализации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и выступает объективным препятствием для объединения.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Возможность сохранения своей автономии в рамках городских агломераций стимулирует процесс присоединение поселений с собственной идентичностью и муниципальными традициями к городским округам (ядрам агломераций) с приданием им статуса муниципальных образований.  При этом бывшие поселения могли бы сохранить свою автономию по вопросам, которые эффективнее решать в локальном масштабе (например, благоустройство территорий), при том, что городской округ сможет взять на себя и функции управления общими делами агломерации (например, транспорт, дорожное хозяйство, утилизация отходов).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1222DB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>Во-вторых,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необходимо учитывать, что некоторые городские округа уже сегодня - достаточно децентрализованные градостроительные образования.  Отдельные территории (районы, микрорайоны, населенные пункты в городской черте) готовы к самоуправлению и решению отдельных вопросов местного значения на уровне, максимально приближенном к жителям. Зачастую нынешние городские округа на волне территориальных реформ последнего десятилетия были сформированы в рамках территорий бывших районов, при этом муниципальной автономии </w:t>
      </w:r>
      <w:proofErr w:type="gram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оказывались</w:t>
      </w:r>
      <w:proofErr w:type="gram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лишены самодостаточные села, поселки и даже города, находящиеся на значительном расстоянии (до сотен километров) от центрального города. Р.В.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Бабун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, высказывая аналогичную идею, приводит в качестве яркого примера городской округ Белово Кемеровской области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vertAlign w:val="superscript"/>
        </w:rPr>
        <w:footnoteReference w:id="2"/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Интересным примером в этой связи является и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Эжвинский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район города Сыктывкара, фактически удаленный от основной части города и обособленный. В советские времена он был одним из 3-х городских районов Сыктывкара, затем районное деление в городе было отменено, а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Эжвинский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район сохранял статус самостоятельного муниципального образования, а с 2006 года он стал единственным внутригородским районом городского округа со своей территориальной администрацией, но без выборной власти.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В ряде регионов (Свердловская область, Сахалинская область) большинство муниципальных районов стали сегодня городскими округами, включающими обширные территории и множество рассредоточенных населенных пунктах. Очевидно, в некоторых из отдаленных населенных пунктов могло бы возродиться самоуправление в решении локальных вопросов обустройства территории (без дробления существующих городских округов).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lastRenderedPageBreak/>
        <w:tab/>
        <w:t xml:space="preserve">Даже внутри исторических границ российских городов встречаются специфические сообщества со своей идентичностью и зачатками самоуправления (типа новосибирского </w:t>
      </w:r>
      <w:proofErr w:type="spellStart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академгородка</w:t>
      </w:r>
      <w:proofErr w:type="spellEnd"/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), развития которых нельзя исключать.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>В связи с эти целесообразно рассмотреть вопрос о возможности введения нового типа муниципальных образований – внутригородских территорий городских округов. В определенном смысле, похожие практики уже использовались в советские времена (модель городских советов с подчиненными сельсоветами/поссоветами)</w:t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vertAlign w:val="superscript"/>
        </w:rPr>
        <w:footnoteReference w:id="3"/>
      </w: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. 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222D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>Однако в нынешних реалиях о реализации подобных законодательных предложений можно говорить только  при обязательном соблюдении следующих условий: 1) создание внутригородских муниципальных образований не должно стать обязательным для всех городских округов; 2) решение о создании внутригородского муниципального образования должно приниматься населением (представительным органом) городского округа и закрепляться в его уставе; 3) представительный орган местного самоуправления должен принимать решение о списке вопросов местного значения, решение которых передается внутригородскому муниципальному образованию из закрепленного в федеральном законе общего перечня таких вопросов.</w:t>
      </w: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1222DB" w:rsidRPr="001222DB" w:rsidRDefault="001222DB" w:rsidP="007F5808">
      <w:pPr>
        <w:spacing w:beforeLines="60" w:before="144" w:afterLines="60" w:after="144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 w:bidi="x-none"/>
        </w:rPr>
      </w:pPr>
      <w:r w:rsidRPr="007F580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="007F5808" w:rsidRPr="007F5808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>Материал п</w:t>
      </w:r>
      <w:r w:rsidRPr="007F5808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>одготовил</w:t>
      </w:r>
      <w:r w:rsidR="007F5808" w:rsidRPr="007F5808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 xml:space="preserve"> -</w:t>
      </w:r>
      <w:r w:rsidRPr="007F5808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 xml:space="preserve"> М</w:t>
      </w:r>
      <w:r w:rsidRPr="001222DB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>аксимов А</w:t>
      </w:r>
      <w:r w:rsidRPr="007F5808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 xml:space="preserve">.Н., эксперт Комитета гражданских инициатив, руководитель проекта Фонда Кудрина «Муниципальная карта России: точки роста», канд. </w:t>
      </w:r>
      <w:proofErr w:type="spellStart"/>
      <w:r w:rsidRPr="007F5808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>юрид</w:t>
      </w:r>
      <w:proofErr w:type="spellEnd"/>
      <w:r w:rsidRPr="007F5808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 xml:space="preserve">. наук  </w:t>
      </w:r>
    </w:p>
    <w:p w:rsidR="00AB659A" w:rsidRPr="007F5808" w:rsidRDefault="00AB659A" w:rsidP="007F5808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B659A" w:rsidRPr="007F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4A" w:rsidRDefault="009E684A" w:rsidP="009E64D0">
      <w:pPr>
        <w:spacing w:after="0" w:line="240" w:lineRule="auto"/>
      </w:pPr>
      <w:r>
        <w:separator/>
      </w:r>
    </w:p>
  </w:endnote>
  <w:endnote w:type="continuationSeparator" w:id="0">
    <w:p w:rsidR="009E684A" w:rsidRDefault="009E684A" w:rsidP="009E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4A" w:rsidRDefault="009E684A" w:rsidP="009E64D0">
      <w:pPr>
        <w:spacing w:after="0" w:line="240" w:lineRule="auto"/>
      </w:pPr>
      <w:r>
        <w:separator/>
      </w:r>
    </w:p>
  </w:footnote>
  <w:footnote w:type="continuationSeparator" w:id="0">
    <w:p w:rsidR="009E684A" w:rsidRDefault="009E684A" w:rsidP="009E64D0">
      <w:pPr>
        <w:spacing w:after="0" w:line="240" w:lineRule="auto"/>
      </w:pPr>
      <w:r>
        <w:continuationSeparator/>
      </w:r>
    </w:p>
  </w:footnote>
  <w:footnote w:id="1">
    <w:p w:rsidR="001222DB" w:rsidRDefault="001222DB" w:rsidP="001222D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lang w:eastAsia="ru-RU" w:bidi="x-none"/>
        </w:rPr>
      </w:pPr>
      <w:r>
        <w:rPr>
          <w:rFonts w:ascii="Helvetica" w:eastAsia="Arial Unicode MS" w:hAnsi="Helvetica"/>
          <w:color w:val="000000"/>
          <w:sz w:val="20"/>
          <w:u w:color="000000"/>
          <w:vertAlign w:val="superscript"/>
        </w:rPr>
        <w:footnoteRef/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Здесь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и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далее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при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анализе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количественных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характеристик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существующих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сегодня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внутригородских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районов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автор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опирается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на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сравнительную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таблицу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«Внутригородские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районы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в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городах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–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центрах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субъектов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Российской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Федерации»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, </w:t>
      </w:r>
      <w:r>
        <w:rPr>
          <w:rFonts w:ascii="Helvetica" w:eastAsia="Arial Unicode MS" w:hAnsi="Arial Unicode MS"/>
          <w:color w:val="000000"/>
          <w:sz w:val="20"/>
          <w:u w:color="000000"/>
        </w:rPr>
        <w:t>подготовленную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консультантом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Фонда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Кудрина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Д</w:t>
      </w:r>
      <w:r>
        <w:rPr>
          <w:rFonts w:ascii="Helvetica" w:eastAsia="Arial Unicode MS" w:hAnsi="Arial Unicode MS"/>
          <w:color w:val="000000"/>
          <w:sz w:val="20"/>
          <w:u w:color="000000"/>
        </w:rPr>
        <w:t>.</w:t>
      </w:r>
      <w:r>
        <w:rPr>
          <w:rFonts w:ascii="Helvetica" w:eastAsia="Arial Unicode MS" w:hAnsi="Arial Unicode MS"/>
          <w:color w:val="000000"/>
          <w:sz w:val="20"/>
          <w:u w:color="000000"/>
        </w:rPr>
        <w:t>Д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. </w:t>
      </w:r>
      <w:r>
        <w:rPr>
          <w:rFonts w:ascii="Helvetica" w:eastAsia="Arial Unicode MS" w:hAnsi="Arial Unicode MS"/>
          <w:color w:val="000000"/>
          <w:sz w:val="20"/>
          <w:u w:color="000000"/>
        </w:rPr>
        <w:t>Гриневой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в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рамках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проекта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«Муниципальная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карта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России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: </w:t>
      </w:r>
      <w:r>
        <w:rPr>
          <w:rFonts w:ascii="Helvetica" w:eastAsia="Arial Unicode MS" w:hAnsi="Arial Unicode MS"/>
          <w:color w:val="000000"/>
          <w:sz w:val="20"/>
          <w:u w:color="000000"/>
        </w:rPr>
        <w:t>точки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роста»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на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основании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мониторинга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интернет</w:t>
      </w:r>
      <w:r>
        <w:rPr>
          <w:rFonts w:ascii="Helvetica" w:eastAsia="Arial Unicode MS" w:hAnsi="Arial Unicode MS"/>
          <w:color w:val="000000"/>
          <w:sz w:val="20"/>
          <w:u w:color="000000"/>
        </w:rPr>
        <w:t>-</w:t>
      </w:r>
      <w:r>
        <w:rPr>
          <w:rFonts w:ascii="Helvetica" w:eastAsia="Arial Unicode MS" w:hAnsi="Arial Unicode MS"/>
          <w:color w:val="000000"/>
          <w:sz w:val="20"/>
          <w:u w:color="000000"/>
        </w:rPr>
        <w:t>сайтов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городских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округов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. </w:t>
      </w:r>
    </w:p>
  </w:footnote>
  <w:footnote w:id="2">
    <w:p w:rsidR="001222DB" w:rsidRDefault="001222DB" w:rsidP="001222DB">
      <w:pPr>
        <w:spacing w:after="0" w:line="240" w:lineRule="auto"/>
        <w:outlineLvl w:val="0"/>
        <w:rPr>
          <w:rFonts w:ascii="Times New Roman" w:eastAsia="Times New Roman" w:hAnsi="Times New Roman"/>
          <w:sz w:val="20"/>
          <w:lang w:eastAsia="ru-RU" w:bidi="x-none"/>
        </w:rPr>
      </w:pPr>
      <w:r>
        <w:rPr>
          <w:rFonts w:ascii="Helvetica" w:eastAsia="Arial Unicode MS" w:hAnsi="Helvetica"/>
          <w:color w:val="000000"/>
          <w:sz w:val="20"/>
          <w:u w:color="000000"/>
          <w:vertAlign w:val="superscript"/>
        </w:rPr>
        <w:footnoteRef/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Р</w:t>
      </w:r>
      <w:r>
        <w:rPr>
          <w:rFonts w:ascii="Helvetica" w:eastAsia="Arial Unicode MS" w:hAnsi="Arial Unicode MS"/>
          <w:color w:val="000000"/>
          <w:sz w:val="20"/>
          <w:u w:color="000000"/>
        </w:rPr>
        <w:t>.</w:t>
      </w:r>
      <w:r>
        <w:rPr>
          <w:rFonts w:ascii="Helvetica" w:eastAsia="Arial Unicode MS" w:hAnsi="Arial Unicode MS"/>
          <w:color w:val="000000"/>
          <w:sz w:val="20"/>
          <w:u w:color="000000"/>
        </w:rPr>
        <w:t>В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. </w:t>
      </w:r>
      <w:proofErr w:type="spellStart"/>
      <w:r>
        <w:rPr>
          <w:rFonts w:ascii="Helvetica" w:eastAsia="Arial Unicode MS" w:hAnsi="Arial Unicode MS"/>
          <w:color w:val="000000"/>
          <w:sz w:val="20"/>
          <w:u w:color="000000"/>
        </w:rPr>
        <w:t>Бабун</w:t>
      </w:r>
      <w:proofErr w:type="spellEnd"/>
      <w:r>
        <w:rPr>
          <w:rFonts w:ascii="Helvetica" w:eastAsia="Arial Unicode MS" w:hAnsi="Arial Unicode MS"/>
          <w:color w:val="000000"/>
          <w:sz w:val="20"/>
          <w:u w:color="000000"/>
        </w:rPr>
        <w:t xml:space="preserve">. </w:t>
      </w:r>
      <w:r>
        <w:rPr>
          <w:rFonts w:ascii="Helvetica" w:eastAsia="Arial Unicode MS" w:hAnsi="Arial Unicode MS"/>
          <w:color w:val="000000"/>
          <w:sz w:val="20"/>
          <w:u w:color="000000"/>
        </w:rPr>
        <w:t>Территориальная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организация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местного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самоуправления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: </w:t>
      </w:r>
      <w:r>
        <w:rPr>
          <w:rFonts w:ascii="Helvetica" w:eastAsia="Arial Unicode MS" w:hAnsi="Arial Unicode MS"/>
          <w:color w:val="000000"/>
          <w:sz w:val="20"/>
          <w:u w:color="000000"/>
        </w:rPr>
        <w:t>куда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идем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и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что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делать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?// </w:t>
      </w:r>
      <w:r>
        <w:rPr>
          <w:rFonts w:ascii="Helvetica" w:eastAsia="Arial Unicode MS" w:hAnsi="Arial Unicode MS"/>
          <w:color w:val="000000"/>
          <w:sz w:val="20"/>
          <w:u w:color="000000"/>
        </w:rPr>
        <w:t>журнал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«Муниципальная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власть»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, </w:t>
      </w:r>
      <w:r>
        <w:rPr>
          <w:rFonts w:ascii="Helvetica" w:eastAsia="Arial Unicode MS" w:hAnsi="Arial Unicode MS"/>
          <w:color w:val="000000"/>
          <w:sz w:val="20"/>
          <w:u w:color="000000"/>
        </w:rPr>
        <w:t>№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3, </w:t>
      </w:r>
      <w:r>
        <w:rPr>
          <w:rFonts w:ascii="Helvetica" w:eastAsia="Arial Unicode MS" w:hAnsi="Arial Unicode MS"/>
          <w:color w:val="000000"/>
          <w:sz w:val="20"/>
          <w:u w:color="000000"/>
        </w:rPr>
        <w:t>май</w:t>
      </w:r>
      <w:r>
        <w:rPr>
          <w:rFonts w:ascii="Helvetica" w:eastAsia="Arial Unicode MS" w:hAnsi="Arial Unicode MS"/>
          <w:color w:val="000000"/>
          <w:sz w:val="20"/>
          <w:u w:color="000000"/>
        </w:rPr>
        <w:t>-</w:t>
      </w:r>
      <w:r>
        <w:rPr>
          <w:rFonts w:ascii="Helvetica" w:eastAsia="Arial Unicode MS" w:hAnsi="Arial Unicode MS"/>
          <w:color w:val="000000"/>
          <w:sz w:val="20"/>
          <w:u w:color="000000"/>
        </w:rPr>
        <w:t>июнь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2013, </w:t>
      </w:r>
      <w:r>
        <w:rPr>
          <w:rFonts w:ascii="Helvetica" w:eastAsia="Arial Unicode MS" w:hAnsi="Arial Unicode MS"/>
          <w:color w:val="000000"/>
          <w:sz w:val="20"/>
          <w:u w:color="000000"/>
        </w:rPr>
        <w:t>с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. 32-38. </w:t>
      </w:r>
    </w:p>
  </w:footnote>
  <w:footnote w:id="3">
    <w:p w:rsidR="001222DB" w:rsidRDefault="001222DB" w:rsidP="001222D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lang w:eastAsia="ru-RU" w:bidi="x-none"/>
        </w:rPr>
      </w:pPr>
      <w:r>
        <w:rPr>
          <w:rFonts w:ascii="Helvetica" w:eastAsia="Arial Unicode MS" w:hAnsi="Helvetica"/>
          <w:color w:val="000000"/>
          <w:sz w:val="20"/>
          <w:u w:color="000000"/>
          <w:vertAlign w:val="superscript"/>
        </w:rPr>
        <w:footnoteRef/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Подобный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подход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озвучивался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еще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в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ходе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подготовки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Федерального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закона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№</w:t>
      </w:r>
      <w:r>
        <w:rPr>
          <w:rFonts w:ascii="Helvetica" w:eastAsia="Arial Unicode MS" w:hAnsi="Arial Unicode MS"/>
          <w:color w:val="000000"/>
          <w:sz w:val="20"/>
          <w:u w:color="000000"/>
        </w:rPr>
        <w:t>131-</w:t>
      </w:r>
      <w:r>
        <w:rPr>
          <w:rFonts w:ascii="Helvetica" w:eastAsia="Arial Unicode MS" w:hAnsi="Arial Unicode MS"/>
          <w:color w:val="000000"/>
          <w:sz w:val="20"/>
          <w:u w:color="000000"/>
        </w:rPr>
        <w:t>ФЗ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: </w:t>
      </w:r>
      <w:proofErr w:type="spellStart"/>
      <w:r>
        <w:rPr>
          <w:rFonts w:ascii="Helvetica" w:eastAsia="Arial Unicode MS" w:hAnsi="Arial Unicode MS"/>
          <w:color w:val="000000"/>
          <w:sz w:val="20"/>
          <w:u w:color="000000"/>
        </w:rPr>
        <w:t>Бабун</w:t>
      </w:r>
      <w:proofErr w:type="spellEnd"/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Р</w:t>
      </w:r>
      <w:r>
        <w:rPr>
          <w:rFonts w:ascii="Helvetica" w:eastAsia="Arial Unicode MS" w:hAnsi="Arial Unicode MS"/>
          <w:color w:val="000000"/>
          <w:sz w:val="20"/>
          <w:u w:color="000000"/>
        </w:rPr>
        <w:t>.</w:t>
      </w:r>
      <w:r>
        <w:rPr>
          <w:rFonts w:ascii="Helvetica" w:eastAsia="Arial Unicode MS" w:hAnsi="Arial Unicode MS"/>
          <w:color w:val="000000"/>
          <w:sz w:val="20"/>
          <w:u w:color="000000"/>
        </w:rPr>
        <w:t>В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. </w:t>
      </w:r>
      <w:r>
        <w:rPr>
          <w:rFonts w:ascii="Helvetica" w:eastAsia="Arial Unicode MS" w:hAnsi="Arial Unicode MS"/>
          <w:color w:val="000000"/>
          <w:sz w:val="20"/>
          <w:u w:color="000000"/>
        </w:rPr>
        <w:t>Унификация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или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разграничения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? </w:t>
      </w:r>
      <w:r>
        <w:rPr>
          <w:rFonts w:ascii="Helvetica" w:eastAsia="Arial Unicode MS" w:hAnsi="Arial Unicode MS"/>
          <w:color w:val="000000"/>
          <w:sz w:val="20"/>
          <w:u w:color="000000"/>
        </w:rPr>
        <w:t>Реформа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территориальной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организации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местного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самоуправления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: </w:t>
      </w:r>
      <w:r>
        <w:rPr>
          <w:rFonts w:ascii="Helvetica" w:eastAsia="Arial Unicode MS" w:hAnsi="Arial Unicode MS"/>
          <w:color w:val="000000"/>
          <w:sz w:val="20"/>
          <w:u w:color="000000"/>
        </w:rPr>
        <w:t>не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навреди</w:t>
      </w:r>
      <w:r>
        <w:rPr>
          <w:rFonts w:ascii="Helvetica" w:eastAsia="Arial Unicode MS" w:hAnsi="Arial Unicode MS"/>
          <w:color w:val="000000"/>
          <w:sz w:val="20"/>
          <w:u w:color="000000"/>
        </w:rPr>
        <w:t>.//</w:t>
      </w:r>
      <w:r>
        <w:rPr>
          <w:rFonts w:ascii="Helvetica" w:eastAsia="Arial Unicode MS" w:hAnsi="Arial Unicode MS"/>
          <w:color w:val="000000"/>
          <w:sz w:val="20"/>
          <w:u w:color="000000"/>
        </w:rPr>
        <w:t>Муниципальная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власть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, 2003, </w:t>
      </w:r>
      <w:r>
        <w:rPr>
          <w:rFonts w:ascii="Helvetica" w:eastAsia="Arial Unicode MS" w:hAnsi="Arial Unicode MS"/>
          <w:color w:val="000000"/>
          <w:sz w:val="20"/>
          <w:u w:color="000000"/>
        </w:rPr>
        <w:t>№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1. </w:t>
      </w:r>
      <w:r>
        <w:rPr>
          <w:rFonts w:ascii="Helvetica" w:eastAsia="Arial Unicode MS" w:hAnsi="Arial Unicode MS"/>
          <w:color w:val="000000"/>
          <w:sz w:val="20"/>
          <w:u w:color="000000"/>
        </w:rPr>
        <w:t>Автор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настоящей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статьи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ранее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обосновывал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и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разворачивал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данную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идею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по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итогам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исследования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Института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современного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развития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: </w:t>
      </w:r>
      <w:r>
        <w:rPr>
          <w:rFonts w:ascii="Helvetica" w:eastAsia="Arial Unicode MS" w:hAnsi="Arial Unicode MS"/>
          <w:color w:val="000000"/>
          <w:sz w:val="20"/>
          <w:u w:color="000000"/>
        </w:rPr>
        <w:t>«Местное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самоуправление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в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России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: </w:t>
      </w:r>
      <w:r>
        <w:rPr>
          <w:rFonts w:ascii="Helvetica" w:eastAsia="Arial Unicode MS" w:hAnsi="Arial Unicode MS"/>
          <w:color w:val="000000"/>
          <w:sz w:val="20"/>
          <w:u w:color="000000"/>
        </w:rPr>
        <w:t>состояние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, </w:t>
      </w:r>
      <w:r>
        <w:rPr>
          <w:rFonts w:ascii="Helvetica" w:eastAsia="Arial Unicode MS" w:hAnsi="Arial Unicode MS"/>
          <w:color w:val="000000"/>
          <w:sz w:val="20"/>
          <w:u w:color="000000"/>
        </w:rPr>
        <w:t>проблемы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, </w:t>
      </w:r>
      <w:r>
        <w:rPr>
          <w:rFonts w:ascii="Helvetica" w:eastAsia="Arial Unicode MS" w:hAnsi="Arial Unicode MS"/>
          <w:color w:val="000000"/>
          <w:sz w:val="20"/>
          <w:u w:color="000000"/>
        </w:rPr>
        <w:t>пути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Helvetica" w:eastAsia="Arial Unicode MS" w:hAnsi="Arial Unicode MS"/>
          <w:color w:val="000000"/>
          <w:sz w:val="20"/>
          <w:u w:color="000000"/>
        </w:rPr>
        <w:t>совершенствования»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. </w:t>
      </w:r>
      <w:r>
        <w:rPr>
          <w:rFonts w:ascii="Helvetica" w:eastAsia="Arial Unicode MS" w:hAnsi="Arial Unicode MS"/>
          <w:color w:val="000000"/>
          <w:sz w:val="20"/>
          <w:u w:color="000000"/>
        </w:rPr>
        <w:t>М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., </w:t>
      </w:r>
      <w:proofErr w:type="spellStart"/>
      <w:r>
        <w:rPr>
          <w:rFonts w:ascii="Helvetica" w:eastAsia="Arial Unicode MS" w:hAnsi="Arial Unicode MS"/>
          <w:color w:val="000000"/>
          <w:sz w:val="20"/>
          <w:u w:color="000000"/>
        </w:rPr>
        <w:t>Экон</w:t>
      </w:r>
      <w:r>
        <w:rPr>
          <w:rFonts w:ascii="Helvetica" w:eastAsia="Arial Unicode MS" w:hAnsi="Arial Unicode MS"/>
          <w:color w:val="000000"/>
          <w:sz w:val="20"/>
          <w:u w:color="000000"/>
        </w:rPr>
        <w:t>-</w:t>
      </w:r>
      <w:r>
        <w:rPr>
          <w:rFonts w:ascii="Helvetica" w:eastAsia="Arial Unicode MS" w:hAnsi="Arial Unicode MS"/>
          <w:color w:val="000000"/>
          <w:sz w:val="20"/>
          <w:u w:color="000000"/>
        </w:rPr>
        <w:t>Информ</w:t>
      </w:r>
      <w:proofErr w:type="spellEnd"/>
      <w:r>
        <w:rPr>
          <w:rFonts w:ascii="Helvetica" w:eastAsia="Arial Unicode MS" w:hAnsi="Arial Unicode MS"/>
          <w:color w:val="000000"/>
          <w:sz w:val="20"/>
          <w:u w:color="000000"/>
        </w:rPr>
        <w:t xml:space="preserve">, 2009. </w:t>
      </w:r>
      <w:r>
        <w:rPr>
          <w:rFonts w:ascii="Helvetica" w:eastAsia="Arial Unicode MS" w:hAnsi="Arial Unicode MS"/>
          <w:color w:val="000000"/>
          <w:sz w:val="20"/>
          <w:u w:color="000000"/>
        </w:rPr>
        <w:t>С</w:t>
      </w:r>
      <w:r>
        <w:rPr>
          <w:rFonts w:ascii="Helvetica" w:eastAsia="Arial Unicode MS" w:hAnsi="Arial Unicode MS"/>
          <w:color w:val="000000"/>
          <w:sz w:val="20"/>
          <w:u w:color="000000"/>
        </w:rPr>
        <w:t xml:space="preserve">. 276-279.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06"/>
    <w:rsid w:val="00001EBF"/>
    <w:rsid w:val="0002405C"/>
    <w:rsid w:val="00024408"/>
    <w:rsid w:val="00024B5B"/>
    <w:rsid w:val="0002766E"/>
    <w:rsid w:val="0003622C"/>
    <w:rsid w:val="0004168C"/>
    <w:rsid w:val="00043A70"/>
    <w:rsid w:val="000463DD"/>
    <w:rsid w:val="00061360"/>
    <w:rsid w:val="00072909"/>
    <w:rsid w:val="00073956"/>
    <w:rsid w:val="00075C5F"/>
    <w:rsid w:val="0008076D"/>
    <w:rsid w:val="000813E0"/>
    <w:rsid w:val="00083763"/>
    <w:rsid w:val="00086A8A"/>
    <w:rsid w:val="00094154"/>
    <w:rsid w:val="00094692"/>
    <w:rsid w:val="00095A2E"/>
    <w:rsid w:val="000A4B84"/>
    <w:rsid w:val="000B1768"/>
    <w:rsid w:val="000B789B"/>
    <w:rsid w:val="000D4969"/>
    <w:rsid w:val="000E0E6E"/>
    <w:rsid w:val="000E76A8"/>
    <w:rsid w:val="0010000A"/>
    <w:rsid w:val="001004A0"/>
    <w:rsid w:val="001072C7"/>
    <w:rsid w:val="00115A33"/>
    <w:rsid w:val="001222DB"/>
    <w:rsid w:val="00122FC8"/>
    <w:rsid w:val="00124F4E"/>
    <w:rsid w:val="001250E7"/>
    <w:rsid w:val="00126157"/>
    <w:rsid w:val="001318CE"/>
    <w:rsid w:val="00132408"/>
    <w:rsid w:val="00147C06"/>
    <w:rsid w:val="001637A2"/>
    <w:rsid w:val="00163A00"/>
    <w:rsid w:val="00183163"/>
    <w:rsid w:val="00184CF5"/>
    <w:rsid w:val="00195377"/>
    <w:rsid w:val="001B1AD6"/>
    <w:rsid w:val="001B1DB4"/>
    <w:rsid w:val="001B2328"/>
    <w:rsid w:val="001B6354"/>
    <w:rsid w:val="001C3187"/>
    <w:rsid w:val="001C3D83"/>
    <w:rsid w:val="001D5BDC"/>
    <w:rsid w:val="001E11A5"/>
    <w:rsid w:val="001E2BC3"/>
    <w:rsid w:val="001E3459"/>
    <w:rsid w:val="001E5041"/>
    <w:rsid w:val="001E6B7B"/>
    <w:rsid w:val="001E6B9A"/>
    <w:rsid w:val="001E6E5B"/>
    <w:rsid w:val="001F4CE5"/>
    <w:rsid w:val="002035A8"/>
    <w:rsid w:val="00210B7D"/>
    <w:rsid w:val="00213F58"/>
    <w:rsid w:val="00217076"/>
    <w:rsid w:val="0021749A"/>
    <w:rsid w:val="002245E2"/>
    <w:rsid w:val="00231073"/>
    <w:rsid w:val="00240BD2"/>
    <w:rsid w:val="00252580"/>
    <w:rsid w:val="0026579E"/>
    <w:rsid w:val="00272DB1"/>
    <w:rsid w:val="0028138A"/>
    <w:rsid w:val="002832F4"/>
    <w:rsid w:val="002919A0"/>
    <w:rsid w:val="002B1865"/>
    <w:rsid w:val="002B7464"/>
    <w:rsid w:val="002B789B"/>
    <w:rsid w:val="002D5C68"/>
    <w:rsid w:val="002D5DB6"/>
    <w:rsid w:val="002F7C5E"/>
    <w:rsid w:val="00306830"/>
    <w:rsid w:val="0031107B"/>
    <w:rsid w:val="00316CBD"/>
    <w:rsid w:val="003225E9"/>
    <w:rsid w:val="003237CC"/>
    <w:rsid w:val="003248A5"/>
    <w:rsid w:val="00326880"/>
    <w:rsid w:val="00327F67"/>
    <w:rsid w:val="00337600"/>
    <w:rsid w:val="00346478"/>
    <w:rsid w:val="003623C9"/>
    <w:rsid w:val="00366905"/>
    <w:rsid w:val="003670EA"/>
    <w:rsid w:val="00381D50"/>
    <w:rsid w:val="00382E69"/>
    <w:rsid w:val="00390EFD"/>
    <w:rsid w:val="003925D7"/>
    <w:rsid w:val="00393F9E"/>
    <w:rsid w:val="003949C7"/>
    <w:rsid w:val="003A27CE"/>
    <w:rsid w:val="003A76C0"/>
    <w:rsid w:val="003B070E"/>
    <w:rsid w:val="003B2F6D"/>
    <w:rsid w:val="003C2038"/>
    <w:rsid w:val="003C65E0"/>
    <w:rsid w:val="003E1A69"/>
    <w:rsid w:val="003F2B38"/>
    <w:rsid w:val="003F5620"/>
    <w:rsid w:val="00410C0A"/>
    <w:rsid w:val="00411C94"/>
    <w:rsid w:val="004130A8"/>
    <w:rsid w:val="004157C5"/>
    <w:rsid w:val="00430156"/>
    <w:rsid w:val="00430B16"/>
    <w:rsid w:val="00434731"/>
    <w:rsid w:val="004365C3"/>
    <w:rsid w:val="00436D06"/>
    <w:rsid w:val="00437A35"/>
    <w:rsid w:val="0044713A"/>
    <w:rsid w:val="00453DEA"/>
    <w:rsid w:val="00473F48"/>
    <w:rsid w:val="00477294"/>
    <w:rsid w:val="00493B5D"/>
    <w:rsid w:val="00496660"/>
    <w:rsid w:val="00497402"/>
    <w:rsid w:val="004B23CE"/>
    <w:rsid w:val="004B2F5F"/>
    <w:rsid w:val="004B2FBC"/>
    <w:rsid w:val="004B45D3"/>
    <w:rsid w:val="004C1ABB"/>
    <w:rsid w:val="004C4A5F"/>
    <w:rsid w:val="004C6945"/>
    <w:rsid w:val="004C7D43"/>
    <w:rsid w:val="004D7DD4"/>
    <w:rsid w:val="004E5858"/>
    <w:rsid w:val="00500AA6"/>
    <w:rsid w:val="00520768"/>
    <w:rsid w:val="005337BA"/>
    <w:rsid w:val="005343A2"/>
    <w:rsid w:val="00536F3B"/>
    <w:rsid w:val="0054078C"/>
    <w:rsid w:val="00543534"/>
    <w:rsid w:val="00556389"/>
    <w:rsid w:val="00563C31"/>
    <w:rsid w:val="00565938"/>
    <w:rsid w:val="00567345"/>
    <w:rsid w:val="00571332"/>
    <w:rsid w:val="005738D2"/>
    <w:rsid w:val="005759A6"/>
    <w:rsid w:val="00575C79"/>
    <w:rsid w:val="00583C50"/>
    <w:rsid w:val="00584F96"/>
    <w:rsid w:val="00586366"/>
    <w:rsid w:val="005B4151"/>
    <w:rsid w:val="005B5517"/>
    <w:rsid w:val="005B7F5B"/>
    <w:rsid w:val="005C2F52"/>
    <w:rsid w:val="005D00B5"/>
    <w:rsid w:val="005D0593"/>
    <w:rsid w:val="005D38B4"/>
    <w:rsid w:val="005E1140"/>
    <w:rsid w:val="005E4D90"/>
    <w:rsid w:val="005E6FC2"/>
    <w:rsid w:val="005E7BEB"/>
    <w:rsid w:val="005F4467"/>
    <w:rsid w:val="005F7DCA"/>
    <w:rsid w:val="0062429A"/>
    <w:rsid w:val="00624BDF"/>
    <w:rsid w:val="00640F7C"/>
    <w:rsid w:val="00642505"/>
    <w:rsid w:val="00656E53"/>
    <w:rsid w:val="00660172"/>
    <w:rsid w:val="00661EDE"/>
    <w:rsid w:val="00666672"/>
    <w:rsid w:val="00684D5F"/>
    <w:rsid w:val="006868F4"/>
    <w:rsid w:val="00686E49"/>
    <w:rsid w:val="006963DA"/>
    <w:rsid w:val="006A7719"/>
    <w:rsid w:val="006B37C4"/>
    <w:rsid w:val="006B4E9B"/>
    <w:rsid w:val="006B6AAD"/>
    <w:rsid w:val="006B7578"/>
    <w:rsid w:val="006B76C3"/>
    <w:rsid w:val="006C08BE"/>
    <w:rsid w:val="006C6323"/>
    <w:rsid w:val="006C76ED"/>
    <w:rsid w:val="006C7A56"/>
    <w:rsid w:val="006D4BC6"/>
    <w:rsid w:val="006D6C8B"/>
    <w:rsid w:val="006E1403"/>
    <w:rsid w:val="006F3A16"/>
    <w:rsid w:val="006F57C5"/>
    <w:rsid w:val="00705D56"/>
    <w:rsid w:val="00706847"/>
    <w:rsid w:val="007150BD"/>
    <w:rsid w:val="007175C0"/>
    <w:rsid w:val="00732BE2"/>
    <w:rsid w:val="00734281"/>
    <w:rsid w:val="007401A7"/>
    <w:rsid w:val="007411B8"/>
    <w:rsid w:val="007534CD"/>
    <w:rsid w:val="007609A4"/>
    <w:rsid w:val="00770966"/>
    <w:rsid w:val="00784166"/>
    <w:rsid w:val="00792AD3"/>
    <w:rsid w:val="007972AE"/>
    <w:rsid w:val="007A3193"/>
    <w:rsid w:val="007A32CB"/>
    <w:rsid w:val="007B3305"/>
    <w:rsid w:val="007B6323"/>
    <w:rsid w:val="007C0674"/>
    <w:rsid w:val="007D2185"/>
    <w:rsid w:val="007F1766"/>
    <w:rsid w:val="007F25F4"/>
    <w:rsid w:val="007F5808"/>
    <w:rsid w:val="007F60C8"/>
    <w:rsid w:val="0081265B"/>
    <w:rsid w:val="0081398B"/>
    <w:rsid w:val="00820B69"/>
    <w:rsid w:val="00825040"/>
    <w:rsid w:val="00830907"/>
    <w:rsid w:val="00855D19"/>
    <w:rsid w:val="00873358"/>
    <w:rsid w:val="008763A7"/>
    <w:rsid w:val="00876769"/>
    <w:rsid w:val="0089394F"/>
    <w:rsid w:val="008A442A"/>
    <w:rsid w:val="008A4D3C"/>
    <w:rsid w:val="008A7F10"/>
    <w:rsid w:val="008B6B70"/>
    <w:rsid w:val="008B758A"/>
    <w:rsid w:val="008C2182"/>
    <w:rsid w:val="008E1DBA"/>
    <w:rsid w:val="008E57BD"/>
    <w:rsid w:val="008F1ACC"/>
    <w:rsid w:val="008F33F1"/>
    <w:rsid w:val="008F4DF4"/>
    <w:rsid w:val="008F6370"/>
    <w:rsid w:val="00903EE6"/>
    <w:rsid w:val="009140FD"/>
    <w:rsid w:val="00922EA9"/>
    <w:rsid w:val="0092476B"/>
    <w:rsid w:val="009415AF"/>
    <w:rsid w:val="009423CF"/>
    <w:rsid w:val="009433C8"/>
    <w:rsid w:val="00946299"/>
    <w:rsid w:val="00963B98"/>
    <w:rsid w:val="00973B9E"/>
    <w:rsid w:val="009818B1"/>
    <w:rsid w:val="00981BE9"/>
    <w:rsid w:val="00987D44"/>
    <w:rsid w:val="009A2210"/>
    <w:rsid w:val="009A27DC"/>
    <w:rsid w:val="009B11F1"/>
    <w:rsid w:val="009B4799"/>
    <w:rsid w:val="009B67A3"/>
    <w:rsid w:val="009C0092"/>
    <w:rsid w:val="009C46F4"/>
    <w:rsid w:val="009D12EE"/>
    <w:rsid w:val="009D4B47"/>
    <w:rsid w:val="009E368A"/>
    <w:rsid w:val="009E5A30"/>
    <w:rsid w:val="009E64D0"/>
    <w:rsid w:val="009E684A"/>
    <w:rsid w:val="00A0123C"/>
    <w:rsid w:val="00A07D40"/>
    <w:rsid w:val="00A25CB9"/>
    <w:rsid w:val="00A26EEA"/>
    <w:rsid w:val="00A30C24"/>
    <w:rsid w:val="00A315E0"/>
    <w:rsid w:val="00A33C13"/>
    <w:rsid w:val="00A47846"/>
    <w:rsid w:val="00A6331F"/>
    <w:rsid w:val="00A65052"/>
    <w:rsid w:val="00A8442D"/>
    <w:rsid w:val="00A90A03"/>
    <w:rsid w:val="00AA50A9"/>
    <w:rsid w:val="00AA51CB"/>
    <w:rsid w:val="00AB2BBB"/>
    <w:rsid w:val="00AB2C57"/>
    <w:rsid w:val="00AB659A"/>
    <w:rsid w:val="00AD060C"/>
    <w:rsid w:val="00AD2845"/>
    <w:rsid w:val="00AE72CC"/>
    <w:rsid w:val="00B04335"/>
    <w:rsid w:val="00B34480"/>
    <w:rsid w:val="00B45248"/>
    <w:rsid w:val="00B4771F"/>
    <w:rsid w:val="00B67F98"/>
    <w:rsid w:val="00B71DFE"/>
    <w:rsid w:val="00B73A6A"/>
    <w:rsid w:val="00B87806"/>
    <w:rsid w:val="00BA79B8"/>
    <w:rsid w:val="00BA7C51"/>
    <w:rsid w:val="00BB3AB5"/>
    <w:rsid w:val="00BB3D47"/>
    <w:rsid w:val="00BC3239"/>
    <w:rsid w:val="00BC52B7"/>
    <w:rsid w:val="00BC590E"/>
    <w:rsid w:val="00BC7D6E"/>
    <w:rsid w:val="00BE1A41"/>
    <w:rsid w:val="00BE3AAC"/>
    <w:rsid w:val="00BF0132"/>
    <w:rsid w:val="00C051D5"/>
    <w:rsid w:val="00C07D9D"/>
    <w:rsid w:val="00C13B6D"/>
    <w:rsid w:val="00C23CBD"/>
    <w:rsid w:val="00C27A3C"/>
    <w:rsid w:val="00C33158"/>
    <w:rsid w:val="00C40F16"/>
    <w:rsid w:val="00C47478"/>
    <w:rsid w:val="00C51A37"/>
    <w:rsid w:val="00C54EB5"/>
    <w:rsid w:val="00C60C5E"/>
    <w:rsid w:val="00C63801"/>
    <w:rsid w:val="00C67D68"/>
    <w:rsid w:val="00C71DC3"/>
    <w:rsid w:val="00C97D96"/>
    <w:rsid w:val="00CA0962"/>
    <w:rsid w:val="00CB05F5"/>
    <w:rsid w:val="00CB5CD4"/>
    <w:rsid w:val="00CD1933"/>
    <w:rsid w:val="00CD261C"/>
    <w:rsid w:val="00CD5012"/>
    <w:rsid w:val="00CD7219"/>
    <w:rsid w:val="00CD77AE"/>
    <w:rsid w:val="00CE0DB6"/>
    <w:rsid w:val="00CE6804"/>
    <w:rsid w:val="00CF20B5"/>
    <w:rsid w:val="00CF26F7"/>
    <w:rsid w:val="00CF28D9"/>
    <w:rsid w:val="00CF42C2"/>
    <w:rsid w:val="00D04A50"/>
    <w:rsid w:val="00D10902"/>
    <w:rsid w:val="00D11A9E"/>
    <w:rsid w:val="00D13D20"/>
    <w:rsid w:val="00D32427"/>
    <w:rsid w:val="00D3765B"/>
    <w:rsid w:val="00D436F7"/>
    <w:rsid w:val="00D53A21"/>
    <w:rsid w:val="00D5631C"/>
    <w:rsid w:val="00D60944"/>
    <w:rsid w:val="00D61C24"/>
    <w:rsid w:val="00D809A8"/>
    <w:rsid w:val="00D908EC"/>
    <w:rsid w:val="00D90DC8"/>
    <w:rsid w:val="00D93AFD"/>
    <w:rsid w:val="00DA15E0"/>
    <w:rsid w:val="00DA6CBC"/>
    <w:rsid w:val="00DA7A35"/>
    <w:rsid w:val="00DB789D"/>
    <w:rsid w:val="00DC582E"/>
    <w:rsid w:val="00DE14EC"/>
    <w:rsid w:val="00DE175C"/>
    <w:rsid w:val="00DE372F"/>
    <w:rsid w:val="00DE4B6C"/>
    <w:rsid w:val="00DF0033"/>
    <w:rsid w:val="00DF02D9"/>
    <w:rsid w:val="00DF0748"/>
    <w:rsid w:val="00DF29C0"/>
    <w:rsid w:val="00DF6757"/>
    <w:rsid w:val="00E05FF1"/>
    <w:rsid w:val="00E06BA7"/>
    <w:rsid w:val="00E24054"/>
    <w:rsid w:val="00E243F3"/>
    <w:rsid w:val="00E4122B"/>
    <w:rsid w:val="00E41D3E"/>
    <w:rsid w:val="00E45095"/>
    <w:rsid w:val="00E554A8"/>
    <w:rsid w:val="00E5609E"/>
    <w:rsid w:val="00E64729"/>
    <w:rsid w:val="00E65542"/>
    <w:rsid w:val="00E67018"/>
    <w:rsid w:val="00E71279"/>
    <w:rsid w:val="00E75723"/>
    <w:rsid w:val="00E776E3"/>
    <w:rsid w:val="00E80590"/>
    <w:rsid w:val="00E871C1"/>
    <w:rsid w:val="00E93081"/>
    <w:rsid w:val="00EC69F5"/>
    <w:rsid w:val="00EE10F6"/>
    <w:rsid w:val="00EE1C31"/>
    <w:rsid w:val="00EE1C76"/>
    <w:rsid w:val="00EE5E0D"/>
    <w:rsid w:val="00EF26A4"/>
    <w:rsid w:val="00F15FD9"/>
    <w:rsid w:val="00F260E5"/>
    <w:rsid w:val="00F33C68"/>
    <w:rsid w:val="00F4441C"/>
    <w:rsid w:val="00F46270"/>
    <w:rsid w:val="00F51120"/>
    <w:rsid w:val="00F5268A"/>
    <w:rsid w:val="00F56E63"/>
    <w:rsid w:val="00F67198"/>
    <w:rsid w:val="00F77C16"/>
    <w:rsid w:val="00F82320"/>
    <w:rsid w:val="00F85D9C"/>
    <w:rsid w:val="00F862CD"/>
    <w:rsid w:val="00FA0F68"/>
    <w:rsid w:val="00FA154F"/>
    <w:rsid w:val="00FB2605"/>
    <w:rsid w:val="00FC69A0"/>
    <w:rsid w:val="00FD1A87"/>
    <w:rsid w:val="00FD5355"/>
    <w:rsid w:val="00FD53E2"/>
    <w:rsid w:val="00FE0536"/>
    <w:rsid w:val="00FF0A8F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D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E64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64D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E6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D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E64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64D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E6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Мес07</b:Tag>
    <b:SourceType>Book</b:SourceType>
    <b:Guid>{60125B0A-3845-4813-89DA-166093E5250E}</b:Guid>
    <b:Title>"Местное самоуправление в современной России"</b:Title>
    <b:Year>2007</b:Year>
    <b:City>Москва-Владимир </b:City>
    <b:Publisher>ИСРМО "Малые города"</b:Publisher>
    <b:RefOrder>1</b:RefOrder>
  </b:Source>
</b:Sources>
</file>

<file path=customXml/itemProps1.xml><?xml version="1.0" encoding="utf-8"?>
<ds:datastoreItem xmlns:ds="http://schemas.openxmlformats.org/officeDocument/2006/customXml" ds:itemID="{7C272596-9D69-478A-AF65-BA54474D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2014-03-07T07:55:00Z</dcterms:created>
  <dcterms:modified xsi:type="dcterms:W3CDTF">2014-03-07T07:55:00Z</dcterms:modified>
</cp:coreProperties>
</file>